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DF58A" w14:textId="55512BD9" w:rsidR="00715B26" w:rsidRPr="00715B26" w:rsidRDefault="00715B26" w:rsidP="00715B26">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Pr>
          <w:rFonts w:ascii="Lato" w:eastAsia="Times New Roman" w:hAnsi="Lato" w:cs="Times New Roman"/>
          <w:color w:val="CC3300"/>
          <w:kern w:val="36"/>
          <w:sz w:val="36"/>
          <w:szCs w:val="36"/>
          <w:lang w:eastAsia="fr-BE"/>
          <w14:ligatures w14:val="none"/>
        </w:rPr>
        <w:t>L</w:t>
      </w:r>
      <w:r w:rsidRPr="00715B26">
        <w:rPr>
          <w:rFonts w:ascii="Lato" w:eastAsia="Times New Roman" w:hAnsi="Lato" w:cs="Times New Roman"/>
          <w:color w:val="CC3300"/>
          <w:kern w:val="36"/>
          <w:sz w:val="36"/>
          <w:szCs w:val="36"/>
          <w:lang w:eastAsia="fr-BE"/>
          <w14:ligatures w14:val="none"/>
        </w:rPr>
        <w:t>es volumes d’échanges contrariés par la hausse des cours sur le LME</w:t>
      </w:r>
    </w:p>
    <w:p w14:paraId="3D212B6C" w14:textId="77777777" w:rsidR="00715B26" w:rsidRDefault="00715B26" w:rsidP="00715B26">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DE92D81" w14:textId="48353AE4"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gramStart"/>
      <w:r w:rsidRPr="00715B26">
        <w:rPr>
          <w:rFonts w:ascii="Lato" w:eastAsia="Times New Roman" w:hAnsi="Lato" w:cs="Times New Roman"/>
          <w:b/>
          <w:bCs/>
          <w:color w:val="000000"/>
          <w:kern w:val="0"/>
          <w:sz w:val="23"/>
          <w:szCs w:val="23"/>
          <w:lang w:eastAsia="fr-BE"/>
          <w14:ligatures w14:val="none"/>
        </w:rPr>
        <w:t>Rotterdam.-</w:t>
      </w:r>
      <w:proofErr w:type="gramEnd"/>
      <w:r w:rsidRPr="00715B26">
        <w:rPr>
          <w:rFonts w:ascii="Lato" w:eastAsia="Times New Roman" w:hAnsi="Lato" w:cs="Times New Roman"/>
          <w:b/>
          <w:bCs/>
          <w:color w:val="000000"/>
          <w:kern w:val="0"/>
          <w:sz w:val="23"/>
          <w:szCs w:val="23"/>
          <w:lang w:eastAsia="fr-BE"/>
          <w14:ligatures w14:val="none"/>
        </w:rPr>
        <w:t xml:space="preserve"> Pas de changements significatifs sur les marchés de métaux européens ces derniers jours. La robustesse des cours sur le LME continue de peser sur les volumes d’échanges. Les tensions sur les disponibilités demeurent le principal moteur de fermeté des primes sur le marché de l’aluminium.</w:t>
      </w:r>
    </w:p>
    <w:p w14:paraId="45835C18"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br/>
      </w:r>
      <w:r w:rsidRPr="00715B26">
        <w:rPr>
          <w:rFonts w:ascii="Lato" w:eastAsia="Times New Roman" w:hAnsi="Lato" w:cs="Times New Roman"/>
          <w:b/>
          <w:bCs/>
          <w:color w:val="A52A2A"/>
          <w:kern w:val="0"/>
          <w:sz w:val="23"/>
          <w:szCs w:val="23"/>
          <w:lang w:eastAsia="fr-BE"/>
          <w14:ligatures w14:val="none"/>
        </w:rPr>
        <w:t>Aluminium : hausse soutenue</w:t>
      </w:r>
    </w:p>
    <w:p w14:paraId="5B70E154"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Les primes finalisées sur les livraisons de lingots d’aluminium restent fermes, dans un marché où les tensions sur l’offre persistent. Les primes sur les </w:t>
      </w:r>
      <w:r w:rsidRPr="00715B26">
        <w:rPr>
          <w:rFonts w:ascii="Lato" w:eastAsia="Times New Roman" w:hAnsi="Lato" w:cs="Times New Roman"/>
          <w:color w:val="000000"/>
          <w:kern w:val="0"/>
          <w:sz w:val="23"/>
          <w:szCs w:val="23"/>
          <w:u w:val="single"/>
          <w:lang w:eastAsia="fr-BE"/>
          <w14:ligatures w14:val="none"/>
        </w:rPr>
        <w:t>lingots P1020 dédouanés</w:t>
      </w:r>
      <w:r w:rsidRPr="00715B26">
        <w:rPr>
          <w:rFonts w:ascii="Lato" w:eastAsia="Times New Roman" w:hAnsi="Lato" w:cs="Times New Roman"/>
          <w:color w:val="000000"/>
          <w:kern w:val="0"/>
          <w:sz w:val="23"/>
          <w:szCs w:val="23"/>
          <w:lang w:eastAsia="fr-BE"/>
          <w14:ligatures w14:val="none"/>
        </w:rPr>
        <w:t>, au départ des magasins de </w:t>
      </w:r>
      <w:r w:rsidRPr="00715B26">
        <w:rPr>
          <w:rFonts w:ascii="Lato" w:eastAsia="Times New Roman" w:hAnsi="Lato" w:cs="Times New Roman"/>
          <w:b/>
          <w:bCs/>
          <w:color w:val="000000"/>
          <w:kern w:val="0"/>
          <w:sz w:val="23"/>
          <w:szCs w:val="23"/>
          <w:lang w:eastAsia="fr-BE"/>
          <w14:ligatures w14:val="none"/>
        </w:rPr>
        <w:t>Rotterdam</w:t>
      </w:r>
      <w:r w:rsidRPr="00715B26">
        <w:rPr>
          <w:rFonts w:ascii="Lato" w:eastAsia="Times New Roman" w:hAnsi="Lato" w:cs="Times New Roman"/>
          <w:color w:val="000000"/>
          <w:kern w:val="0"/>
          <w:sz w:val="23"/>
          <w:szCs w:val="23"/>
          <w:lang w:eastAsia="fr-BE"/>
          <w14:ligatures w14:val="none"/>
        </w:rPr>
        <w:t>, ont progressé sur une semaine, à 325-340 $/t. « </w:t>
      </w:r>
      <w:r w:rsidRPr="00715B26">
        <w:rPr>
          <w:rFonts w:ascii="Lato" w:eastAsia="Times New Roman" w:hAnsi="Lato" w:cs="Times New Roman"/>
          <w:i/>
          <w:iCs/>
          <w:color w:val="000000"/>
          <w:kern w:val="0"/>
          <w:sz w:val="23"/>
          <w:szCs w:val="23"/>
          <w:lang w:eastAsia="fr-BE"/>
          <w14:ligatures w14:val="none"/>
        </w:rPr>
        <w:t>A court terme, il est peu probable que les primes reculent</w:t>
      </w:r>
      <w:r w:rsidRPr="00715B26">
        <w:rPr>
          <w:rFonts w:ascii="Lato" w:eastAsia="Times New Roman" w:hAnsi="Lato" w:cs="Times New Roman"/>
          <w:color w:val="000000"/>
          <w:kern w:val="0"/>
          <w:sz w:val="23"/>
          <w:szCs w:val="23"/>
          <w:lang w:eastAsia="fr-BE"/>
          <w14:ligatures w14:val="none"/>
        </w:rPr>
        <w:t>, suggère un trader. </w:t>
      </w:r>
      <w:r w:rsidRPr="00715B26">
        <w:rPr>
          <w:rFonts w:ascii="Lato" w:eastAsia="Times New Roman" w:hAnsi="Lato" w:cs="Times New Roman"/>
          <w:i/>
          <w:iCs/>
          <w:color w:val="000000"/>
          <w:kern w:val="0"/>
          <w:sz w:val="23"/>
          <w:szCs w:val="23"/>
          <w:lang w:eastAsia="fr-BE"/>
          <w14:ligatures w14:val="none"/>
        </w:rPr>
        <w:t>Le marché est soutenu par les tensions sur les disponibilités et les coûts de transport élevés. Le spread entre les contrats sur le LME est volatil, et peu de transactions sont nouées, signe que le marché est plus tendu. </w:t>
      </w:r>
      <w:r w:rsidRPr="00715B26">
        <w:rPr>
          <w:rFonts w:ascii="Lato" w:eastAsia="Times New Roman" w:hAnsi="Lato" w:cs="Times New Roman"/>
          <w:color w:val="000000"/>
          <w:kern w:val="0"/>
          <w:sz w:val="23"/>
          <w:szCs w:val="23"/>
          <w:lang w:eastAsia="fr-BE"/>
          <w14:ligatures w14:val="none"/>
        </w:rPr>
        <w:t>» Les vendeurs ont fait davantage de propositions à la hausse, mais les consommateurs sont peu enclins à acheter.</w:t>
      </w:r>
    </w:p>
    <w:p w14:paraId="148140D7"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Les primes sur les </w:t>
      </w:r>
      <w:r w:rsidRPr="00715B26">
        <w:rPr>
          <w:rFonts w:ascii="Lato" w:eastAsia="Times New Roman" w:hAnsi="Lato" w:cs="Times New Roman"/>
          <w:color w:val="000000"/>
          <w:kern w:val="0"/>
          <w:sz w:val="23"/>
          <w:szCs w:val="23"/>
          <w:u w:val="single"/>
          <w:lang w:eastAsia="fr-BE"/>
          <w14:ligatures w14:val="none"/>
        </w:rPr>
        <w:t>lingots non dédouanés</w:t>
      </w:r>
      <w:r w:rsidRPr="00715B26">
        <w:rPr>
          <w:rFonts w:ascii="Lato" w:eastAsia="Times New Roman" w:hAnsi="Lato" w:cs="Times New Roman"/>
          <w:color w:val="000000"/>
          <w:kern w:val="0"/>
          <w:sz w:val="23"/>
          <w:szCs w:val="23"/>
          <w:lang w:eastAsia="fr-BE"/>
          <w14:ligatures w14:val="none"/>
        </w:rPr>
        <w:t>, au départ des entrepôts de </w:t>
      </w:r>
      <w:r w:rsidRPr="00715B26">
        <w:rPr>
          <w:rFonts w:ascii="Lato" w:eastAsia="Times New Roman" w:hAnsi="Lato" w:cs="Times New Roman"/>
          <w:b/>
          <w:bCs/>
          <w:color w:val="000000"/>
          <w:kern w:val="0"/>
          <w:sz w:val="23"/>
          <w:szCs w:val="23"/>
          <w:lang w:eastAsia="fr-BE"/>
          <w14:ligatures w14:val="none"/>
        </w:rPr>
        <w:t>Rotterdam</w:t>
      </w:r>
      <w:r w:rsidRPr="00715B26">
        <w:rPr>
          <w:rFonts w:ascii="Lato" w:eastAsia="Times New Roman" w:hAnsi="Lato" w:cs="Times New Roman"/>
          <w:color w:val="000000"/>
          <w:kern w:val="0"/>
          <w:sz w:val="23"/>
          <w:szCs w:val="23"/>
          <w:lang w:eastAsia="fr-BE"/>
          <w14:ligatures w14:val="none"/>
        </w:rPr>
        <w:t>, ont, à 240-260 $/t, progressé de 10 $ à la fourchette haute sur la semaine. La hausse s’explique par l’augmentation des coûts de remplacement du métal. Les opérateurs gardent, par ailleurs, un œil sur le </w:t>
      </w:r>
      <w:r w:rsidRPr="00715B26">
        <w:rPr>
          <w:rFonts w:ascii="Lato" w:eastAsia="Times New Roman" w:hAnsi="Lato" w:cs="Times New Roman"/>
          <w:i/>
          <w:iCs/>
          <w:color w:val="000000"/>
          <w:kern w:val="0"/>
          <w:sz w:val="23"/>
          <w:szCs w:val="23"/>
          <w:lang w:eastAsia="fr-BE"/>
          <w14:ligatures w14:val="none"/>
        </w:rPr>
        <w:t>spread </w:t>
      </w:r>
      <w:r w:rsidRPr="00715B26">
        <w:rPr>
          <w:rFonts w:ascii="Lato" w:eastAsia="Times New Roman" w:hAnsi="Lato" w:cs="Times New Roman"/>
          <w:color w:val="000000"/>
          <w:kern w:val="0"/>
          <w:sz w:val="23"/>
          <w:szCs w:val="23"/>
          <w:lang w:eastAsia="fr-BE"/>
          <w14:ligatures w14:val="none"/>
        </w:rPr>
        <w:t>[</w:t>
      </w:r>
      <w:r w:rsidRPr="00715B26">
        <w:rPr>
          <w:rFonts w:ascii="Lato" w:eastAsia="Times New Roman" w:hAnsi="Lato" w:cs="Times New Roman"/>
          <w:i/>
          <w:iCs/>
          <w:color w:val="000000"/>
          <w:kern w:val="0"/>
          <w:sz w:val="23"/>
          <w:szCs w:val="23"/>
          <w:lang w:eastAsia="fr-BE"/>
          <w14:ligatures w14:val="none"/>
        </w:rPr>
        <w:t>écart</w:t>
      </w:r>
      <w:r w:rsidRPr="00715B26">
        <w:rPr>
          <w:rFonts w:ascii="Lato" w:eastAsia="Times New Roman" w:hAnsi="Lato" w:cs="Times New Roman"/>
          <w:color w:val="000000"/>
          <w:kern w:val="0"/>
          <w:sz w:val="23"/>
          <w:szCs w:val="23"/>
          <w:lang w:eastAsia="fr-BE"/>
          <w14:ligatures w14:val="none"/>
        </w:rPr>
        <w:t>] entre les contrats comptant et trois mois du LME, la bourse ayant réceptionné jeudi 16 mai 59.825 tonnes d’aluminium, des livraisons qui portent le volume total conservé par la bourse à plus d’un million de tonnes. Les stocks ont enregistré un bond de 128% entre le 8 et le 16 mai - semaine durant laquelle, les magasins du LME ont pris livraison de plus de 550.000 tonnes de métal.</w:t>
      </w:r>
    </w:p>
    <w:p w14:paraId="3DA12C1B"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Les primes ont également progressé en </w:t>
      </w:r>
      <w:r w:rsidRPr="00715B26">
        <w:rPr>
          <w:rFonts w:ascii="Lato" w:eastAsia="Times New Roman" w:hAnsi="Lato" w:cs="Times New Roman"/>
          <w:b/>
          <w:bCs/>
          <w:color w:val="000000"/>
          <w:kern w:val="0"/>
          <w:sz w:val="23"/>
          <w:szCs w:val="23"/>
          <w:lang w:eastAsia="fr-BE"/>
          <w14:ligatures w14:val="none"/>
        </w:rPr>
        <w:t>Italie</w:t>
      </w:r>
      <w:r w:rsidRPr="00715B26">
        <w:rPr>
          <w:rFonts w:ascii="Lato" w:eastAsia="Times New Roman" w:hAnsi="Lato" w:cs="Times New Roman"/>
          <w:color w:val="000000"/>
          <w:kern w:val="0"/>
          <w:sz w:val="23"/>
          <w:szCs w:val="23"/>
          <w:lang w:eastAsia="fr-BE"/>
          <w14:ligatures w14:val="none"/>
        </w:rPr>
        <w:t>, où les disponibilités demeurent tendues. Elles se sont hissées à 340-375 $/t, contre 340-370 $/t la semaine passée. « </w:t>
      </w:r>
      <w:r w:rsidRPr="00715B26">
        <w:rPr>
          <w:rFonts w:ascii="Lato" w:eastAsia="Times New Roman" w:hAnsi="Lato" w:cs="Times New Roman"/>
          <w:i/>
          <w:iCs/>
          <w:color w:val="000000"/>
          <w:kern w:val="0"/>
          <w:sz w:val="23"/>
          <w:szCs w:val="23"/>
          <w:lang w:eastAsia="fr-BE"/>
          <w14:ligatures w14:val="none"/>
        </w:rPr>
        <w:t>C’est en Italie que les tensions sont les plus vives », </w:t>
      </w:r>
      <w:r w:rsidRPr="00715B26">
        <w:rPr>
          <w:rFonts w:ascii="Lato" w:eastAsia="Times New Roman" w:hAnsi="Lato" w:cs="Times New Roman"/>
          <w:color w:val="000000"/>
          <w:kern w:val="0"/>
          <w:sz w:val="23"/>
          <w:szCs w:val="23"/>
          <w:lang w:eastAsia="fr-BE"/>
          <w14:ligatures w14:val="none"/>
        </w:rPr>
        <w:t>souligne un consommateur.</w:t>
      </w:r>
      <w:r w:rsidRPr="00715B26">
        <w:rPr>
          <w:rFonts w:ascii="Lato" w:eastAsia="Times New Roman" w:hAnsi="Lato" w:cs="Times New Roman"/>
          <w:i/>
          <w:iCs/>
          <w:color w:val="000000"/>
          <w:kern w:val="0"/>
          <w:sz w:val="23"/>
          <w:szCs w:val="23"/>
          <w:lang w:eastAsia="fr-BE"/>
          <w14:ligatures w14:val="none"/>
        </w:rPr>
        <w:t> Le marché anticipe des livraisons dans les mois à venir mais, d’ici là, les disponibilités resteront tendues</w:t>
      </w:r>
      <w:r w:rsidRPr="00715B26">
        <w:rPr>
          <w:rFonts w:ascii="Lato" w:eastAsia="Times New Roman" w:hAnsi="Lato" w:cs="Times New Roman"/>
          <w:color w:val="000000"/>
          <w:kern w:val="0"/>
          <w:sz w:val="23"/>
          <w:szCs w:val="23"/>
          <w:lang w:eastAsia="fr-BE"/>
          <w14:ligatures w14:val="none"/>
        </w:rPr>
        <w:t> ».</w:t>
      </w:r>
    </w:p>
    <w:p w14:paraId="6B25E3E5"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 </w:t>
      </w:r>
    </w:p>
    <w:p w14:paraId="27A4AB19"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b/>
          <w:bCs/>
          <w:color w:val="A52A2A"/>
          <w:kern w:val="0"/>
          <w:sz w:val="23"/>
          <w:szCs w:val="23"/>
          <w:lang w:eastAsia="fr-BE"/>
          <w14:ligatures w14:val="none"/>
        </w:rPr>
        <w:t>Cuivre : la flambée des cours assèche le volume d’échanges</w:t>
      </w:r>
    </w:p>
    <w:p w14:paraId="7344AEED"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L’activité est demeurée ténue sur le marché physique du cuivre. L’une des raisons étant la progression significative des cours sur le LME, où le métal rouge a dépassé les 10.500 $/t vendredi 17 mai. La demande en </w:t>
      </w:r>
      <w:r w:rsidRPr="00715B26">
        <w:rPr>
          <w:rFonts w:ascii="Lato" w:eastAsia="Times New Roman" w:hAnsi="Lato" w:cs="Times New Roman"/>
          <w:b/>
          <w:bCs/>
          <w:color w:val="000000"/>
          <w:kern w:val="0"/>
          <w:sz w:val="23"/>
          <w:szCs w:val="23"/>
          <w:lang w:eastAsia="fr-BE"/>
          <w14:ligatures w14:val="none"/>
        </w:rPr>
        <w:t>Allemagne</w:t>
      </w:r>
      <w:r w:rsidRPr="00715B26">
        <w:rPr>
          <w:rFonts w:ascii="Lato" w:eastAsia="Times New Roman" w:hAnsi="Lato" w:cs="Times New Roman"/>
          <w:color w:val="000000"/>
          <w:kern w:val="0"/>
          <w:sz w:val="23"/>
          <w:szCs w:val="23"/>
          <w:lang w:eastAsia="fr-BE"/>
          <w14:ligatures w14:val="none"/>
        </w:rPr>
        <w:t> est plus faible qu’ailleurs en Europe, du fait des difficultés du secteur industriel. Les primes sur les </w:t>
      </w:r>
      <w:r w:rsidRPr="00715B26">
        <w:rPr>
          <w:rFonts w:ascii="Lato" w:eastAsia="Times New Roman" w:hAnsi="Lato" w:cs="Times New Roman"/>
          <w:color w:val="000000"/>
          <w:kern w:val="0"/>
          <w:sz w:val="23"/>
          <w:szCs w:val="23"/>
          <w:u w:val="single"/>
          <w:lang w:eastAsia="fr-BE"/>
          <w14:ligatures w14:val="none"/>
        </w:rPr>
        <w:t>cathodes</w:t>
      </w:r>
      <w:r w:rsidRPr="00715B26">
        <w:rPr>
          <w:rFonts w:ascii="Lato" w:eastAsia="Times New Roman" w:hAnsi="Lato" w:cs="Times New Roman"/>
          <w:color w:val="000000"/>
          <w:kern w:val="0"/>
          <w:sz w:val="23"/>
          <w:szCs w:val="23"/>
          <w:lang w:eastAsia="fr-BE"/>
          <w14:ligatures w14:val="none"/>
        </w:rPr>
        <w:t> y sont étales, à 190-200 $/t.</w:t>
      </w:r>
    </w:p>
    <w:p w14:paraId="2CF7B9ED"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En </w:t>
      </w:r>
      <w:r w:rsidRPr="00715B26">
        <w:rPr>
          <w:rFonts w:ascii="Lato" w:eastAsia="Times New Roman" w:hAnsi="Lato" w:cs="Times New Roman"/>
          <w:b/>
          <w:bCs/>
          <w:color w:val="000000"/>
          <w:kern w:val="0"/>
          <w:sz w:val="23"/>
          <w:szCs w:val="23"/>
          <w:lang w:eastAsia="fr-BE"/>
          <w14:ligatures w14:val="none"/>
        </w:rPr>
        <w:t>Italie</w:t>
      </w:r>
      <w:r w:rsidRPr="00715B26">
        <w:rPr>
          <w:rFonts w:ascii="Lato" w:eastAsia="Times New Roman" w:hAnsi="Lato" w:cs="Times New Roman"/>
          <w:color w:val="000000"/>
          <w:kern w:val="0"/>
          <w:sz w:val="23"/>
          <w:szCs w:val="23"/>
          <w:lang w:eastAsia="fr-BE"/>
          <w14:ligatures w14:val="none"/>
        </w:rPr>
        <w:t>, les primes sont inchangées à 130-160 $/t, CIF </w:t>
      </w:r>
      <w:r w:rsidRPr="00715B26">
        <w:rPr>
          <w:rFonts w:ascii="Lato" w:eastAsia="Times New Roman" w:hAnsi="Lato" w:cs="Times New Roman"/>
          <w:b/>
          <w:bCs/>
          <w:color w:val="000000"/>
          <w:kern w:val="0"/>
          <w:sz w:val="23"/>
          <w:szCs w:val="23"/>
          <w:lang w:eastAsia="fr-BE"/>
          <w14:ligatures w14:val="none"/>
        </w:rPr>
        <w:t>Livourne</w:t>
      </w:r>
      <w:r w:rsidRPr="00715B26">
        <w:rPr>
          <w:rFonts w:ascii="Lato" w:eastAsia="Times New Roman" w:hAnsi="Lato" w:cs="Times New Roman"/>
          <w:color w:val="000000"/>
          <w:kern w:val="0"/>
          <w:sz w:val="23"/>
          <w:szCs w:val="23"/>
          <w:lang w:eastAsia="fr-BE"/>
          <w14:ligatures w14:val="none"/>
        </w:rPr>
        <w:t>, depuis le 30 avril, où elles se situaient à 130-150 $/t. La hausse a découlé du surcroit de demande, consécutif aux mesures punitives prises par les Etats-Unis et la Grande Bretagne à l’encontre des métaux russes. Les primes CIF </w:t>
      </w:r>
      <w:r w:rsidRPr="00715B26">
        <w:rPr>
          <w:rFonts w:ascii="Lato" w:eastAsia="Times New Roman" w:hAnsi="Lato" w:cs="Times New Roman"/>
          <w:b/>
          <w:bCs/>
          <w:color w:val="000000"/>
          <w:kern w:val="0"/>
          <w:sz w:val="23"/>
          <w:szCs w:val="23"/>
          <w:lang w:eastAsia="fr-BE"/>
          <w14:ligatures w14:val="none"/>
        </w:rPr>
        <w:t>Rotterdam</w:t>
      </w:r>
      <w:r w:rsidRPr="00715B26">
        <w:rPr>
          <w:rFonts w:ascii="Lato" w:eastAsia="Times New Roman" w:hAnsi="Lato" w:cs="Times New Roman"/>
          <w:color w:val="000000"/>
          <w:kern w:val="0"/>
          <w:sz w:val="23"/>
          <w:szCs w:val="23"/>
          <w:lang w:eastAsia="fr-BE"/>
          <w14:ligatures w14:val="none"/>
        </w:rPr>
        <w:t> sont, elles, stables depuis le 2 avril, à 120-135 $/t. Les niveaux élevés des cours sur le LME et le CME, et des primes dans le Midwest ont incité les opérateurs à exporter leurs cathodes vers les Etats-Unis plutôt que vers l’Europe. Mais la production sur le Vieux Continent est suffisante pour approvisionner les usines, d’où la faiblesse des besoins à l’importation.</w:t>
      </w:r>
    </w:p>
    <w:p w14:paraId="36A48E71"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 </w:t>
      </w:r>
    </w:p>
    <w:p w14:paraId="61F95A9E"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b/>
          <w:bCs/>
          <w:color w:val="A52A2A"/>
          <w:kern w:val="0"/>
          <w:sz w:val="23"/>
          <w:szCs w:val="23"/>
          <w:lang w:eastAsia="fr-BE"/>
          <w14:ligatures w14:val="none"/>
        </w:rPr>
        <w:t>Zinc : en recul dans le sud</w:t>
      </w:r>
    </w:p>
    <w:p w14:paraId="361649DF"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lastRenderedPageBreak/>
        <w:t>Les primes sur les </w:t>
      </w:r>
      <w:r w:rsidRPr="00715B26">
        <w:rPr>
          <w:rFonts w:ascii="Lato" w:eastAsia="Times New Roman" w:hAnsi="Lato" w:cs="Times New Roman"/>
          <w:color w:val="000000"/>
          <w:kern w:val="0"/>
          <w:sz w:val="23"/>
          <w:szCs w:val="23"/>
          <w:u w:val="single"/>
          <w:lang w:eastAsia="fr-BE"/>
          <w14:ligatures w14:val="none"/>
        </w:rPr>
        <w:t>lingots de zinc SHG</w:t>
      </w:r>
      <w:r w:rsidRPr="00715B26">
        <w:rPr>
          <w:rFonts w:ascii="Lato" w:eastAsia="Times New Roman" w:hAnsi="Lato" w:cs="Times New Roman"/>
          <w:color w:val="000000"/>
          <w:kern w:val="0"/>
          <w:sz w:val="23"/>
          <w:szCs w:val="23"/>
          <w:lang w:eastAsia="fr-BE"/>
          <w14:ligatures w14:val="none"/>
        </w:rPr>
        <w:t> sont inchangées dans le nord du continent, à 170-200 $/t, FCA </w:t>
      </w:r>
      <w:r w:rsidRPr="00715B26">
        <w:rPr>
          <w:rFonts w:ascii="Lato" w:eastAsia="Times New Roman" w:hAnsi="Lato" w:cs="Times New Roman"/>
          <w:b/>
          <w:bCs/>
          <w:color w:val="000000"/>
          <w:kern w:val="0"/>
          <w:sz w:val="23"/>
          <w:szCs w:val="23"/>
          <w:lang w:eastAsia="fr-BE"/>
          <w14:ligatures w14:val="none"/>
        </w:rPr>
        <w:t>Anvers </w:t>
      </w:r>
      <w:r w:rsidRPr="00715B26">
        <w:rPr>
          <w:rFonts w:ascii="Lato" w:eastAsia="Times New Roman" w:hAnsi="Lato" w:cs="Times New Roman"/>
          <w:color w:val="000000"/>
          <w:kern w:val="0"/>
          <w:sz w:val="23"/>
          <w:szCs w:val="23"/>
          <w:lang w:eastAsia="fr-BE"/>
          <w14:ligatures w14:val="none"/>
        </w:rPr>
        <w:t>et </w:t>
      </w:r>
      <w:r w:rsidRPr="00715B26">
        <w:rPr>
          <w:rFonts w:ascii="Lato" w:eastAsia="Times New Roman" w:hAnsi="Lato" w:cs="Times New Roman"/>
          <w:b/>
          <w:bCs/>
          <w:color w:val="000000"/>
          <w:kern w:val="0"/>
          <w:sz w:val="23"/>
          <w:szCs w:val="23"/>
          <w:lang w:eastAsia="fr-BE"/>
          <w14:ligatures w14:val="none"/>
        </w:rPr>
        <w:t>Rotterdam</w:t>
      </w:r>
      <w:r w:rsidRPr="00715B26">
        <w:rPr>
          <w:rFonts w:ascii="Lato" w:eastAsia="Times New Roman" w:hAnsi="Lato" w:cs="Times New Roman"/>
          <w:color w:val="000000"/>
          <w:kern w:val="0"/>
          <w:sz w:val="23"/>
          <w:szCs w:val="23"/>
          <w:lang w:eastAsia="fr-BE"/>
          <w14:ligatures w14:val="none"/>
        </w:rPr>
        <w:t>. Les primes se sont, en revanche, tassées en Italie pour les lingots disponibles sur une base FCA, à 210-240 $/t, contre 220-240 $/t la semaine précédente. Les primes sur les lingots livrés demeurent stables à 250-290 $/t. La progression des cours sur le LME a pesé sur les liquidités spot. Les stocks des consommateurs ont retrouvé leurs niveaux habituels, après avoir été engorgés en début d’année. « </w:t>
      </w:r>
      <w:r w:rsidRPr="00715B26">
        <w:rPr>
          <w:rFonts w:ascii="Lato" w:eastAsia="Times New Roman" w:hAnsi="Lato" w:cs="Times New Roman"/>
          <w:i/>
          <w:iCs/>
          <w:color w:val="000000"/>
          <w:kern w:val="0"/>
          <w:sz w:val="23"/>
          <w:szCs w:val="23"/>
          <w:lang w:eastAsia="fr-BE"/>
          <w14:ligatures w14:val="none"/>
        </w:rPr>
        <w:t>Les achats se font de gré à gré »</w:t>
      </w:r>
      <w:r w:rsidRPr="00715B26">
        <w:rPr>
          <w:rFonts w:ascii="Lato" w:eastAsia="Times New Roman" w:hAnsi="Lato" w:cs="Times New Roman"/>
          <w:color w:val="000000"/>
          <w:kern w:val="0"/>
          <w:sz w:val="23"/>
          <w:szCs w:val="23"/>
          <w:lang w:eastAsia="fr-BE"/>
          <w14:ligatures w14:val="none"/>
        </w:rPr>
        <w:t>, note un producteur, qui ajoute que les consommateurs achètent uniquement pour couvrir leurs besoins à court terme, en raison des cours élevés sur le LME. « </w:t>
      </w:r>
      <w:r w:rsidRPr="00715B26">
        <w:rPr>
          <w:rFonts w:ascii="Lato" w:eastAsia="Times New Roman" w:hAnsi="Lato" w:cs="Times New Roman"/>
          <w:i/>
          <w:iCs/>
          <w:color w:val="000000"/>
          <w:kern w:val="0"/>
          <w:sz w:val="23"/>
          <w:szCs w:val="23"/>
          <w:lang w:eastAsia="fr-BE"/>
          <w14:ligatures w14:val="none"/>
        </w:rPr>
        <w:t>Les primes en Italie sont à la peine, mais elles affichent une meilleure tenue qu’en Allemagne </w:t>
      </w:r>
      <w:r w:rsidRPr="00715B26">
        <w:rPr>
          <w:rFonts w:ascii="Lato" w:eastAsia="Times New Roman" w:hAnsi="Lato" w:cs="Times New Roman"/>
          <w:color w:val="000000"/>
          <w:kern w:val="0"/>
          <w:sz w:val="23"/>
          <w:szCs w:val="23"/>
          <w:lang w:eastAsia="fr-BE"/>
          <w14:ligatures w14:val="none"/>
        </w:rPr>
        <w:t>», considère un trader, pointant la faiblesse de la demande dans le nord du continent.</w:t>
      </w:r>
    </w:p>
    <w:p w14:paraId="101CCE20"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 </w:t>
      </w:r>
    </w:p>
    <w:p w14:paraId="3C1C5A7F"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b/>
          <w:bCs/>
          <w:color w:val="A52A2A"/>
          <w:kern w:val="0"/>
          <w:sz w:val="23"/>
          <w:szCs w:val="23"/>
          <w:lang w:eastAsia="fr-BE"/>
          <w14:ligatures w14:val="none"/>
        </w:rPr>
        <w:t>Nickel : regain d’intérêt</w:t>
      </w:r>
    </w:p>
    <w:p w14:paraId="26C88ECF"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Une augmentation de la liquidité a été constatée pour les </w:t>
      </w:r>
      <w:r w:rsidRPr="00715B26">
        <w:rPr>
          <w:rFonts w:ascii="Lato" w:eastAsia="Times New Roman" w:hAnsi="Lato" w:cs="Times New Roman"/>
          <w:color w:val="000000"/>
          <w:kern w:val="0"/>
          <w:sz w:val="23"/>
          <w:szCs w:val="23"/>
          <w:u w:val="single"/>
          <w:lang w:eastAsia="fr-BE"/>
          <w14:ligatures w14:val="none"/>
        </w:rPr>
        <w:t>cathodes entières</w:t>
      </w:r>
      <w:r w:rsidRPr="00715B26">
        <w:rPr>
          <w:rFonts w:ascii="Lato" w:eastAsia="Times New Roman" w:hAnsi="Lato" w:cs="Times New Roman"/>
          <w:color w:val="000000"/>
          <w:kern w:val="0"/>
          <w:sz w:val="23"/>
          <w:szCs w:val="23"/>
          <w:lang w:eastAsia="fr-BE"/>
          <w14:ligatures w14:val="none"/>
        </w:rPr>
        <w:t> et les </w:t>
      </w:r>
      <w:r w:rsidRPr="00715B26">
        <w:rPr>
          <w:rFonts w:ascii="Lato" w:eastAsia="Times New Roman" w:hAnsi="Lato" w:cs="Times New Roman"/>
          <w:color w:val="000000"/>
          <w:kern w:val="0"/>
          <w:sz w:val="23"/>
          <w:szCs w:val="23"/>
          <w:u w:val="single"/>
          <w:lang w:eastAsia="fr-BE"/>
          <w14:ligatures w14:val="none"/>
        </w:rPr>
        <w:t>briquettes</w:t>
      </w:r>
      <w:r w:rsidRPr="00715B26">
        <w:rPr>
          <w:rFonts w:ascii="Lato" w:eastAsia="Times New Roman" w:hAnsi="Lato" w:cs="Times New Roman"/>
          <w:color w:val="000000"/>
          <w:kern w:val="0"/>
          <w:sz w:val="23"/>
          <w:szCs w:val="23"/>
          <w:lang w:eastAsia="fr-BE"/>
          <w14:ligatures w14:val="none"/>
        </w:rPr>
        <w:t> aux niveaux de primes actuels. « </w:t>
      </w:r>
      <w:r w:rsidRPr="00715B26">
        <w:rPr>
          <w:rFonts w:ascii="Lato" w:eastAsia="Times New Roman" w:hAnsi="Lato" w:cs="Times New Roman"/>
          <w:i/>
          <w:iCs/>
          <w:color w:val="000000"/>
          <w:kern w:val="0"/>
          <w:sz w:val="23"/>
          <w:szCs w:val="23"/>
          <w:lang w:eastAsia="fr-BE"/>
          <w14:ligatures w14:val="none"/>
        </w:rPr>
        <w:t>L’activité commence à se relever. Les acheteurs s’engagent sur de plus gros volumes </w:t>
      </w:r>
      <w:r w:rsidRPr="00715B26">
        <w:rPr>
          <w:rFonts w:ascii="Lato" w:eastAsia="Times New Roman" w:hAnsi="Lato" w:cs="Times New Roman"/>
          <w:color w:val="000000"/>
          <w:kern w:val="0"/>
          <w:sz w:val="23"/>
          <w:szCs w:val="23"/>
          <w:lang w:eastAsia="fr-BE"/>
          <w14:ligatures w14:val="none"/>
        </w:rPr>
        <w:t>», constate un trader officiant sur le marché des cathodes. « </w:t>
      </w:r>
      <w:r w:rsidRPr="00715B26">
        <w:rPr>
          <w:rFonts w:ascii="Lato" w:eastAsia="Times New Roman" w:hAnsi="Lato" w:cs="Times New Roman"/>
          <w:i/>
          <w:iCs/>
          <w:color w:val="000000"/>
          <w:kern w:val="0"/>
          <w:sz w:val="23"/>
          <w:szCs w:val="23"/>
          <w:lang w:eastAsia="fr-BE"/>
          <w14:ligatures w14:val="none"/>
        </w:rPr>
        <w:t>Le marché devient progressivement plus haussier </w:t>
      </w:r>
      <w:r w:rsidRPr="00715B26">
        <w:rPr>
          <w:rFonts w:ascii="Lato" w:eastAsia="Times New Roman" w:hAnsi="Lato" w:cs="Times New Roman"/>
          <w:color w:val="000000"/>
          <w:kern w:val="0"/>
          <w:sz w:val="23"/>
          <w:szCs w:val="23"/>
          <w:lang w:eastAsia="fr-BE"/>
          <w14:ligatures w14:val="none"/>
        </w:rPr>
        <w:t>», indique un autre trader œuvrant sur le marché des briquettes. Le marché des </w:t>
      </w:r>
      <w:r w:rsidRPr="00715B26">
        <w:rPr>
          <w:rFonts w:ascii="Lato" w:eastAsia="Times New Roman" w:hAnsi="Lato" w:cs="Times New Roman"/>
          <w:color w:val="000000"/>
          <w:kern w:val="0"/>
          <w:sz w:val="23"/>
          <w:szCs w:val="23"/>
          <w:u w:val="single"/>
          <w:lang w:eastAsia="fr-BE"/>
          <w14:ligatures w14:val="none"/>
        </w:rPr>
        <w:t>cathodes coupées</w:t>
      </w:r>
      <w:r w:rsidRPr="00715B26">
        <w:rPr>
          <w:rFonts w:ascii="Lato" w:eastAsia="Times New Roman" w:hAnsi="Lato" w:cs="Times New Roman"/>
          <w:color w:val="000000"/>
          <w:kern w:val="0"/>
          <w:sz w:val="23"/>
          <w:szCs w:val="23"/>
          <w:lang w:eastAsia="fr-BE"/>
          <w14:ligatures w14:val="none"/>
        </w:rPr>
        <w:t> ne bénéfice, en revanche, pas de cet attrait. En dépit du léger surcroît de demande, les primes, toutes qualités confondues, sont restées inchangées.</w:t>
      </w:r>
    </w:p>
    <w:p w14:paraId="771B586A"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 </w:t>
      </w:r>
    </w:p>
    <w:p w14:paraId="6F1BC3B4"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b/>
          <w:bCs/>
          <w:color w:val="A52A2A"/>
          <w:kern w:val="0"/>
          <w:sz w:val="23"/>
          <w:szCs w:val="23"/>
          <w:lang w:eastAsia="fr-BE"/>
          <w14:ligatures w14:val="none"/>
        </w:rPr>
        <w:t>Etain : offre tendue, les primes s’apprécient</w:t>
      </w:r>
    </w:p>
    <w:p w14:paraId="172FD17F" w14:textId="77777777" w:rsidR="00715B26" w:rsidRPr="00715B26" w:rsidRDefault="00715B26" w:rsidP="00715B2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B26">
        <w:rPr>
          <w:rFonts w:ascii="Lato" w:eastAsia="Times New Roman" w:hAnsi="Lato" w:cs="Times New Roman"/>
          <w:color w:val="000000"/>
          <w:kern w:val="0"/>
          <w:sz w:val="23"/>
          <w:szCs w:val="23"/>
          <w:lang w:eastAsia="fr-BE"/>
          <w14:ligatures w14:val="none"/>
        </w:rPr>
        <w:t xml:space="preserve">Les primes ont renchéri, sous l’effet du recul des exportations indonésiennes (-57,63% sur un an en avril, à 3.079,46 tonnes). Mais les usines européennes ont trouvé des sources d’approvisionnement alternatives. Les effets devraient, de fait, se dissiper. La liquidité s’est </w:t>
      </w:r>
      <w:proofErr w:type="gramStart"/>
      <w:r w:rsidRPr="00715B26">
        <w:rPr>
          <w:rFonts w:ascii="Lato" w:eastAsia="Times New Roman" w:hAnsi="Lato" w:cs="Times New Roman"/>
          <w:color w:val="000000"/>
          <w:kern w:val="0"/>
          <w:sz w:val="23"/>
          <w:szCs w:val="23"/>
          <w:lang w:eastAsia="fr-BE"/>
          <w14:ligatures w14:val="none"/>
        </w:rPr>
        <w:t>également</w:t>
      </w:r>
      <w:proofErr w:type="gramEnd"/>
      <w:r w:rsidRPr="00715B26">
        <w:rPr>
          <w:rFonts w:ascii="Lato" w:eastAsia="Times New Roman" w:hAnsi="Lato" w:cs="Times New Roman"/>
          <w:color w:val="000000"/>
          <w:kern w:val="0"/>
          <w:sz w:val="23"/>
          <w:szCs w:val="23"/>
          <w:lang w:eastAsia="fr-BE"/>
          <w14:ligatures w14:val="none"/>
        </w:rPr>
        <w:t xml:space="preserve"> contractée sur ce marché, en raison de la forte progression des cours sur le LME. Le métal gris se négocie actuellement autour de 33.300 $/t, alors qu’il avait débuté l’année à 25.400 $/t. Les tensions sur l’offre en étain de qualité standard ont fait grimper les primes à 650-1000 $/t. Elles se rapprochent de celles nouées sur les </w:t>
      </w:r>
      <w:r w:rsidRPr="00715B26">
        <w:rPr>
          <w:rFonts w:ascii="Lato" w:eastAsia="Times New Roman" w:hAnsi="Lato" w:cs="Times New Roman"/>
          <w:color w:val="000000"/>
          <w:kern w:val="0"/>
          <w:sz w:val="23"/>
          <w:szCs w:val="23"/>
          <w:u w:val="single"/>
          <w:lang w:eastAsia="fr-BE"/>
          <w14:ligatures w14:val="none"/>
        </w:rPr>
        <w:t>lingots d’étain à faible teneur en plomb</w:t>
      </w:r>
      <w:r w:rsidRPr="00715B26">
        <w:rPr>
          <w:rFonts w:ascii="Lato" w:eastAsia="Times New Roman" w:hAnsi="Lato" w:cs="Times New Roman"/>
          <w:color w:val="000000"/>
          <w:kern w:val="0"/>
          <w:sz w:val="23"/>
          <w:szCs w:val="23"/>
          <w:lang w:eastAsia="fr-BE"/>
          <w14:ligatures w14:val="none"/>
        </w:rPr>
        <w:t>, qui ont renchéri à 750-1100 $/t, au départ des entrepôts de </w:t>
      </w:r>
      <w:r w:rsidRPr="00715B26">
        <w:rPr>
          <w:rFonts w:ascii="Lato" w:eastAsia="Times New Roman" w:hAnsi="Lato" w:cs="Times New Roman"/>
          <w:b/>
          <w:bCs/>
          <w:color w:val="000000"/>
          <w:kern w:val="0"/>
          <w:sz w:val="23"/>
          <w:szCs w:val="23"/>
          <w:lang w:eastAsia="fr-BE"/>
          <w14:ligatures w14:val="none"/>
        </w:rPr>
        <w:t>Rotterdam.</w:t>
      </w:r>
    </w:p>
    <w:p w14:paraId="0A05B81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26"/>
    <w:rsid w:val="00287462"/>
    <w:rsid w:val="006E075B"/>
    <w:rsid w:val="00715B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7EA3"/>
  <w15:chartTrackingRefBased/>
  <w15:docId w15:val="{463D68AD-6300-4127-A516-B452D5F3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5B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5B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5B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5B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5B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5B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5B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5B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5B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5B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5B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5B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5B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5B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5B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5B26"/>
    <w:rPr>
      <w:rFonts w:eastAsiaTheme="majorEastAsia" w:cstheme="majorBidi"/>
      <w:color w:val="272727" w:themeColor="text1" w:themeTint="D8"/>
    </w:rPr>
  </w:style>
  <w:style w:type="paragraph" w:styleId="Titre">
    <w:name w:val="Title"/>
    <w:basedOn w:val="Normal"/>
    <w:next w:val="Normal"/>
    <w:link w:val="TitreCar"/>
    <w:uiPriority w:val="10"/>
    <w:qFormat/>
    <w:rsid w:val="0071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5B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5B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5B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5B26"/>
    <w:pPr>
      <w:spacing w:before="160"/>
      <w:jc w:val="center"/>
    </w:pPr>
    <w:rPr>
      <w:i/>
      <w:iCs/>
      <w:color w:val="404040" w:themeColor="text1" w:themeTint="BF"/>
    </w:rPr>
  </w:style>
  <w:style w:type="character" w:customStyle="1" w:styleId="CitationCar">
    <w:name w:val="Citation Car"/>
    <w:basedOn w:val="Policepardfaut"/>
    <w:link w:val="Citation"/>
    <w:uiPriority w:val="29"/>
    <w:rsid w:val="00715B26"/>
    <w:rPr>
      <w:i/>
      <w:iCs/>
      <w:color w:val="404040" w:themeColor="text1" w:themeTint="BF"/>
    </w:rPr>
  </w:style>
  <w:style w:type="paragraph" w:styleId="Paragraphedeliste">
    <w:name w:val="List Paragraph"/>
    <w:basedOn w:val="Normal"/>
    <w:uiPriority w:val="34"/>
    <w:qFormat/>
    <w:rsid w:val="00715B26"/>
    <w:pPr>
      <w:ind w:left="720"/>
      <w:contextualSpacing/>
    </w:pPr>
  </w:style>
  <w:style w:type="character" w:styleId="Accentuationintense">
    <w:name w:val="Intense Emphasis"/>
    <w:basedOn w:val="Policepardfaut"/>
    <w:uiPriority w:val="21"/>
    <w:qFormat/>
    <w:rsid w:val="00715B26"/>
    <w:rPr>
      <w:i/>
      <w:iCs/>
      <w:color w:val="0F4761" w:themeColor="accent1" w:themeShade="BF"/>
    </w:rPr>
  </w:style>
  <w:style w:type="paragraph" w:styleId="Citationintense">
    <w:name w:val="Intense Quote"/>
    <w:basedOn w:val="Normal"/>
    <w:next w:val="Normal"/>
    <w:link w:val="CitationintenseCar"/>
    <w:uiPriority w:val="30"/>
    <w:qFormat/>
    <w:rsid w:val="0071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5B26"/>
    <w:rPr>
      <w:i/>
      <w:iCs/>
      <w:color w:val="0F4761" w:themeColor="accent1" w:themeShade="BF"/>
    </w:rPr>
  </w:style>
  <w:style w:type="character" w:styleId="Rfrenceintense">
    <w:name w:val="Intense Reference"/>
    <w:basedOn w:val="Policepardfaut"/>
    <w:uiPriority w:val="32"/>
    <w:qFormat/>
    <w:rsid w:val="00715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4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4674</Characters>
  <Application>Microsoft Office Word</Application>
  <DocSecurity>0</DocSecurity>
  <Lines>38</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2024-05-21T05:44:00Z</dcterms:created>
  <dcterms:modified xsi:type="dcterms:W3CDTF">2024-05-21T05:44:00Z</dcterms:modified>
</cp:coreProperties>
</file>